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1EB" w14:textId="49F967FF" w:rsidR="002B7AFF" w:rsidRPr="000E0DE8" w:rsidRDefault="0005531D" w:rsidP="00252CC4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0E0DE8">
        <w:rPr>
          <w:rFonts w:ascii="Times New Roman" w:hAnsi="Times New Roman" w:cs="Times New Roman"/>
          <w:b/>
          <w:bCs/>
          <w:w w:val="95"/>
        </w:rPr>
        <w:t>TERMO</w:t>
      </w:r>
      <w:r w:rsidRPr="000E0DE8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0E0DE8">
        <w:rPr>
          <w:rFonts w:ascii="Times New Roman" w:hAnsi="Times New Roman" w:cs="Times New Roman"/>
          <w:b/>
          <w:bCs/>
          <w:w w:val="95"/>
        </w:rPr>
        <w:t>DE</w:t>
      </w:r>
      <w:r w:rsidRPr="000E0DE8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0E0DE8" w:rsidRPr="000E0DE8">
        <w:rPr>
          <w:rFonts w:ascii="Times New Roman" w:hAnsi="Times New Roman" w:cs="Times New Roman"/>
          <w:b/>
          <w:bCs/>
          <w:spacing w:val="9"/>
          <w:w w:val="95"/>
        </w:rPr>
        <w:t xml:space="preserve">DISPENSA DE </w:t>
      </w:r>
      <w:r w:rsidRPr="000E0DE8">
        <w:rPr>
          <w:rFonts w:ascii="Times New Roman" w:hAnsi="Times New Roman" w:cs="Times New Roman"/>
          <w:b/>
          <w:bCs/>
          <w:w w:val="95"/>
        </w:rPr>
        <w:t>LICITAÇÃO</w:t>
      </w:r>
      <w:r w:rsidRPr="000E0DE8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0E0DE8">
        <w:rPr>
          <w:rFonts w:ascii="Times New Roman" w:hAnsi="Times New Roman" w:cs="Times New Roman"/>
          <w:b/>
          <w:bCs/>
          <w:w w:val="95"/>
        </w:rPr>
        <w:t>№</w:t>
      </w:r>
      <w:r w:rsidR="00C0745C" w:rsidRPr="000E0DE8">
        <w:rPr>
          <w:rFonts w:ascii="Times New Roman" w:hAnsi="Times New Roman" w:cs="Times New Roman"/>
          <w:b/>
          <w:bCs/>
          <w:w w:val="95"/>
        </w:rPr>
        <w:t xml:space="preserve"> </w:t>
      </w:r>
      <w:r w:rsidR="000E0DE8" w:rsidRPr="000E0DE8">
        <w:rPr>
          <w:rFonts w:ascii="Times New Roman" w:hAnsi="Times New Roman" w:cs="Times New Roman"/>
          <w:b/>
          <w:bCs/>
          <w:w w:val="95"/>
        </w:rPr>
        <w:t>39</w:t>
      </w:r>
      <w:r w:rsidR="00FC1E04" w:rsidRPr="000E0DE8">
        <w:rPr>
          <w:rFonts w:ascii="Times New Roman" w:hAnsi="Times New Roman" w:cs="Times New Roman"/>
          <w:b/>
          <w:bCs/>
          <w:w w:val="95"/>
        </w:rPr>
        <w:t>/</w:t>
      </w:r>
      <w:r w:rsidR="00C0745C" w:rsidRPr="000E0DE8">
        <w:rPr>
          <w:rFonts w:ascii="Times New Roman" w:hAnsi="Times New Roman" w:cs="Times New Roman"/>
          <w:b/>
          <w:bCs/>
          <w:w w:val="95"/>
        </w:rPr>
        <w:t>202</w:t>
      </w:r>
      <w:r w:rsidR="00991EEE" w:rsidRPr="000E0DE8">
        <w:rPr>
          <w:rFonts w:ascii="Times New Roman" w:hAnsi="Times New Roman" w:cs="Times New Roman"/>
          <w:b/>
          <w:bCs/>
          <w:w w:val="95"/>
        </w:rPr>
        <w:t>3</w:t>
      </w:r>
      <w:r w:rsidR="00C0745C" w:rsidRPr="000E0DE8">
        <w:rPr>
          <w:rFonts w:ascii="Times New Roman" w:hAnsi="Times New Roman" w:cs="Times New Roman"/>
          <w:b/>
          <w:bCs/>
          <w:w w:val="95"/>
        </w:rPr>
        <w:t>/COFECON</w:t>
      </w:r>
    </w:p>
    <w:p w14:paraId="0742E5DA" w14:textId="77777777" w:rsidR="009A041C" w:rsidRPr="00252CC4" w:rsidRDefault="009A041C" w:rsidP="000E0DE8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7BE5E4D7" w14:textId="1EB61085" w:rsidR="00461E77" w:rsidRPr="000E0DE8" w:rsidRDefault="000E0DE8" w:rsidP="000E0DE8">
      <w:pPr>
        <w:pStyle w:val="Corpodetexto"/>
        <w:jc w:val="both"/>
        <w:rPr>
          <w:rFonts w:ascii="Times New Roman" w:hAnsi="Times New Roman" w:cs="Times New Roman"/>
          <w:b/>
          <w:bCs/>
          <w:w w:val="105"/>
        </w:rPr>
      </w:pPr>
      <w:r w:rsidRPr="000E0DE8">
        <w:rPr>
          <w:rFonts w:ascii="Times New Roman" w:hAnsi="Times New Roman" w:cs="Times New Roman"/>
          <w:b/>
          <w:bCs/>
          <w:w w:val="105"/>
        </w:rPr>
        <w:t>1. Referência</w:t>
      </w:r>
    </w:p>
    <w:p w14:paraId="521FB2AD" w14:textId="77777777" w:rsidR="00252CC4" w:rsidRDefault="00252CC4" w:rsidP="000E0DE8">
      <w:pPr>
        <w:pStyle w:val="Corpodetexto"/>
        <w:jc w:val="both"/>
        <w:rPr>
          <w:rFonts w:ascii="Times New Roman" w:hAnsi="Times New Roman" w:cs="Times New Roman"/>
          <w:w w:val="105"/>
        </w:rPr>
      </w:pPr>
    </w:p>
    <w:p w14:paraId="2A3E8BBC" w14:textId="704373A3" w:rsidR="00C33E8C" w:rsidRPr="000E0DE8" w:rsidRDefault="000E0DE8" w:rsidP="00252CC4">
      <w:pPr>
        <w:pStyle w:val="Corpodetexto"/>
        <w:spacing w:after="120"/>
        <w:jc w:val="both"/>
        <w:rPr>
          <w:rFonts w:ascii="Times New Roman" w:hAnsi="Times New Roman" w:cs="Times New Roman"/>
          <w:w w:val="105"/>
        </w:rPr>
      </w:pPr>
      <w:r w:rsidRPr="000E0DE8">
        <w:rPr>
          <w:rFonts w:ascii="Times New Roman" w:hAnsi="Times New Roman" w:cs="Times New Roman"/>
          <w:w w:val="105"/>
        </w:rPr>
        <w:t>Contratante</w:t>
      </w:r>
      <w:r w:rsidR="00C33E8C" w:rsidRPr="000E0DE8">
        <w:rPr>
          <w:rFonts w:ascii="Times New Roman" w:hAnsi="Times New Roman" w:cs="Times New Roman"/>
          <w:w w:val="105"/>
        </w:rPr>
        <w:t xml:space="preserve">: </w:t>
      </w:r>
      <w:r w:rsidRPr="000E0DE8">
        <w:rPr>
          <w:rFonts w:ascii="Times New Roman" w:hAnsi="Times New Roman" w:cs="Times New Roman"/>
          <w:w w:val="105"/>
        </w:rPr>
        <w:t>Conselho Federal de Economia</w:t>
      </w:r>
      <w:r w:rsidR="00252CC4">
        <w:rPr>
          <w:rFonts w:ascii="Times New Roman" w:hAnsi="Times New Roman" w:cs="Times New Roman"/>
          <w:w w:val="105"/>
        </w:rPr>
        <w:t xml:space="preserve"> - Cofecon</w:t>
      </w:r>
    </w:p>
    <w:p w14:paraId="6AD57F59" w14:textId="64E1F78B" w:rsidR="00C33E8C" w:rsidRPr="000E0DE8" w:rsidRDefault="000E0DE8" w:rsidP="000E0DE8">
      <w:pPr>
        <w:pStyle w:val="Corpodetexto"/>
        <w:jc w:val="both"/>
        <w:rPr>
          <w:rFonts w:ascii="Times New Roman" w:hAnsi="Times New Roman" w:cs="Times New Roman"/>
          <w:w w:val="105"/>
        </w:rPr>
      </w:pPr>
      <w:r w:rsidRPr="000E0DE8">
        <w:rPr>
          <w:rFonts w:ascii="Times New Roman" w:hAnsi="Times New Roman" w:cs="Times New Roman"/>
          <w:w w:val="105"/>
        </w:rPr>
        <w:t xml:space="preserve">Contratada: Serviço Federal de Processamento de Dados </w:t>
      </w:r>
      <w:r>
        <w:rPr>
          <w:rFonts w:ascii="Times New Roman" w:hAnsi="Times New Roman" w:cs="Times New Roman"/>
          <w:w w:val="105"/>
        </w:rPr>
        <w:t>-</w:t>
      </w:r>
      <w:r w:rsidRPr="000E0DE8">
        <w:rPr>
          <w:rFonts w:ascii="Times New Roman" w:hAnsi="Times New Roman" w:cs="Times New Roman"/>
          <w:w w:val="105"/>
        </w:rPr>
        <w:t xml:space="preserve"> Serpro</w:t>
      </w:r>
    </w:p>
    <w:p w14:paraId="586BBE97" w14:textId="77777777" w:rsidR="00C33E8C" w:rsidRPr="000E0DE8" w:rsidRDefault="00C33E8C" w:rsidP="000E0DE8">
      <w:pPr>
        <w:pStyle w:val="Corpodetexto"/>
        <w:jc w:val="both"/>
        <w:rPr>
          <w:rFonts w:ascii="Times New Roman" w:hAnsi="Times New Roman" w:cs="Times New Roman"/>
          <w:w w:val="105"/>
        </w:rPr>
      </w:pPr>
    </w:p>
    <w:p w14:paraId="62CA15E1" w14:textId="5D1A9DC9" w:rsidR="00C33E8C" w:rsidRPr="000E0DE8" w:rsidRDefault="000E0DE8" w:rsidP="000E0DE8">
      <w:pPr>
        <w:pStyle w:val="Corpodetexto"/>
        <w:jc w:val="both"/>
        <w:rPr>
          <w:rFonts w:ascii="Times New Roman" w:hAnsi="Times New Roman" w:cs="Times New Roman"/>
          <w:b/>
          <w:bCs/>
          <w:w w:val="105"/>
        </w:rPr>
      </w:pPr>
      <w:r w:rsidRPr="000E0DE8">
        <w:rPr>
          <w:rFonts w:ascii="Times New Roman" w:hAnsi="Times New Roman" w:cs="Times New Roman"/>
          <w:b/>
          <w:bCs/>
          <w:w w:val="105"/>
        </w:rPr>
        <w:t>2. Objeto</w:t>
      </w:r>
    </w:p>
    <w:p w14:paraId="360832FA" w14:textId="77777777" w:rsidR="00252CC4" w:rsidRDefault="00252CC4" w:rsidP="00252CC4">
      <w:pPr>
        <w:pStyle w:val="Ttulo1"/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511E5CDA" w14:textId="64694851" w:rsidR="00C33E8C" w:rsidRPr="00252CC4" w:rsidRDefault="000E0DE8" w:rsidP="00252CC4">
      <w:pPr>
        <w:pStyle w:val="Ttulo1"/>
        <w:spacing w:before="0"/>
        <w:ind w:left="0" w:firstLine="0"/>
        <w:jc w:val="both"/>
        <w:rPr>
          <w:rFonts w:ascii="Times New Roman" w:hAnsi="Times New Roman" w:cs="Times New Roman"/>
          <w:spacing w:val="-2"/>
        </w:rPr>
      </w:pPr>
      <w:r w:rsidRPr="00252CC4">
        <w:rPr>
          <w:rFonts w:ascii="Times New Roman" w:hAnsi="Times New Roman" w:cs="Times New Roman"/>
        </w:rPr>
        <w:t>2.1. Descrição</w:t>
      </w:r>
      <w:r w:rsidRPr="00252CC4">
        <w:rPr>
          <w:rFonts w:ascii="Times New Roman" w:hAnsi="Times New Roman" w:cs="Times New Roman"/>
          <w:spacing w:val="-5"/>
        </w:rPr>
        <w:t xml:space="preserve"> </w:t>
      </w:r>
      <w:r w:rsidRPr="00252CC4">
        <w:rPr>
          <w:rFonts w:ascii="Times New Roman" w:hAnsi="Times New Roman" w:cs="Times New Roman"/>
        </w:rPr>
        <w:t>dos</w:t>
      </w:r>
      <w:r w:rsidRPr="00252CC4">
        <w:rPr>
          <w:rFonts w:ascii="Times New Roman" w:hAnsi="Times New Roman" w:cs="Times New Roman"/>
          <w:spacing w:val="-4"/>
        </w:rPr>
        <w:t xml:space="preserve"> </w:t>
      </w:r>
      <w:r w:rsidRPr="00252CC4">
        <w:rPr>
          <w:rFonts w:ascii="Times New Roman" w:hAnsi="Times New Roman" w:cs="Times New Roman"/>
          <w:spacing w:val="-2"/>
        </w:rPr>
        <w:t>Serviços</w:t>
      </w:r>
    </w:p>
    <w:p w14:paraId="3BCEB542" w14:textId="77777777" w:rsidR="00252CC4" w:rsidRDefault="00252CC4" w:rsidP="000E0DE8">
      <w:pPr>
        <w:pStyle w:val="Ttulo1"/>
        <w:tabs>
          <w:tab w:val="left" w:pos="823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</w:rPr>
      </w:pPr>
      <w:bookmarkStart w:id="0" w:name="1_DEFINIÇÕES_BÁSICAS"/>
      <w:bookmarkEnd w:id="0"/>
    </w:p>
    <w:p w14:paraId="00E21024" w14:textId="2D3D9B68" w:rsidR="00C33E8C" w:rsidRPr="00252CC4" w:rsidRDefault="000E0DE8" w:rsidP="000E0DE8">
      <w:pPr>
        <w:pStyle w:val="Ttulo1"/>
        <w:tabs>
          <w:tab w:val="left" w:pos="823"/>
        </w:tabs>
        <w:spacing w:before="0"/>
        <w:ind w:left="0" w:firstLine="0"/>
        <w:jc w:val="both"/>
        <w:rPr>
          <w:rFonts w:ascii="Times New Roman" w:hAnsi="Times New Roman" w:cs="Times New Roman"/>
          <w:spacing w:val="-2"/>
        </w:rPr>
      </w:pPr>
      <w:r w:rsidRPr="00252CC4">
        <w:rPr>
          <w:rFonts w:ascii="Times New Roman" w:hAnsi="Times New Roman" w:cs="Times New Roman"/>
        </w:rPr>
        <w:t xml:space="preserve">2.1.1. </w:t>
      </w:r>
      <w:r w:rsidR="00252CC4" w:rsidRPr="00252CC4">
        <w:rPr>
          <w:rFonts w:ascii="Times New Roman" w:hAnsi="Times New Roman" w:cs="Times New Roman"/>
        </w:rPr>
        <w:t>Definições</w:t>
      </w:r>
      <w:r w:rsidR="00252CC4" w:rsidRPr="00252CC4">
        <w:rPr>
          <w:rFonts w:ascii="Times New Roman" w:hAnsi="Times New Roman" w:cs="Times New Roman"/>
          <w:spacing w:val="-10"/>
        </w:rPr>
        <w:t xml:space="preserve"> </w:t>
      </w:r>
      <w:r w:rsidR="00252CC4" w:rsidRPr="00252CC4">
        <w:rPr>
          <w:rFonts w:ascii="Times New Roman" w:hAnsi="Times New Roman" w:cs="Times New Roman"/>
          <w:spacing w:val="-2"/>
        </w:rPr>
        <w:t>Básicas</w:t>
      </w:r>
    </w:p>
    <w:p w14:paraId="6B730BBD" w14:textId="77777777" w:rsidR="00252CC4" w:rsidRDefault="00252CC4" w:rsidP="000E0DE8">
      <w:pPr>
        <w:tabs>
          <w:tab w:val="left" w:pos="822"/>
          <w:tab w:val="left" w:pos="825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bookmarkStart w:id="1" w:name="1.1_Partes:_Todas_as_pessoas_envolvidas_"/>
      <w:bookmarkEnd w:id="1"/>
    </w:p>
    <w:p w14:paraId="7B91E8B3" w14:textId="040C6B0A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DE8">
        <w:rPr>
          <w:rFonts w:ascii="Times New Roman" w:hAnsi="Times New Roman" w:cs="Times New Roman"/>
          <w:sz w:val="24"/>
          <w:szCs w:val="24"/>
        </w:rPr>
        <w:t xml:space="preserve">Partes: Todas as pessoas envolvidas neste contrato, isto é, o CLIENTE e o 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>SERPRO.</w:t>
      </w:r>
    </w:p>
    <w:p w14:paraId="27992101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1.2_Cliente:_Pessoa_Jurídica_que_declara"/>
      <w:bookmarkEnd w:id="2"/>
      <w:r w:rsidRPr="000E0DE8">
        <w:rPr>
          <w:rFonts w:ascii="Times New Roman" w:hAnsi="Times New Roman" w:cs="Times New Roman"/>
          <w:sz w:val="24"/>
          <w:szCs w:val="24"/>
        </w:rPr>
        <w:t>Cliente: Pessoa Jurídica que declara concordância com o presente documento por sua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livre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voluntária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adesão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que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é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identificada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por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meio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do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seu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cadastro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na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Área do Cliente do SERPRO.</w:t>
      </w:r>
    </w:p>
    <w:p w14:paraId="3893D9B0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1.3_Portal:_Canal_eletrônico_acessível_p"/>
      <w:bookmarkEnd w:id="3"/>
      <w:r w:rsidRPr="000E0DE8">
        <w:rPr>
          <w:rFonts w:ascii="Times New Roman" w:hAnsi="Times New Roman" w:cs="Times New Roman"/>
          <w:sz w:val="24"/>
          <w:szCs w:val="24"/>
        </w:rPr>
        <w:t>Portal: Canal eletrônico acessível por intermédio da internet para vendas de serviços oferecidos pelo SERPRO.</w:t>
      </w:r>
    </w:p>
    <w:p w14:paraId="1B1302DE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1.4_Área_do_Cliente:_Canal_eletrônico_ac"/>
      <w:bookmarkEnd w:id="4"/>
      <w:r w:rsidRPr="000E0DE8">
        <w:rPr>
          <w:rFonts w:ascii="Times New Roman" w:hAnsi="Times New Roman" w:cs="Times New Roman"/>
          <w:sz w:val="24"/>
          <w:szCs w:val="24"/>
        </w:rPr>
        <w:t>Área do Cliente: Canal eletrônico acessível por intermédio da Internet pelo CLIENTE. Este portal permitirá aos cadastrados do CLIENTE gerarem novas chaves de acesso, verificar consumo, emitir 2ª via de fatura, acessar</w:t>
      </w:r>
      <w:r w:rsidRPr="000E0D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documentação técnica do serviço contratado.</w:t>
      </w:r>
      <w:r w:rsidRPr="000E0D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</w:t>
      </w:r>
      <w:r w:rsidRPr="000E0D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 xml:space="preserve">Área do Cliente pode ser acessada por intermédio do endereço eletrônico </w:t>
      </w:r>
      <w:hyperlink r:id="rId7">
        <w:r w:rsidRPr="000E0DE8">
          <w:rPr>
            <w:rFonts w:ascii="Times New Roman" w:hAnsi="Times New Roman" w:cs="Times New Roman"/>
            <w:sz w:val="24"/>
            <w:szCs w:val="24"/>
          </w:rPr>
          <w:t>“http://cliente.serpro.gov.br”.</w:t>
        </w:r>
      </w:hyperlink>
    </w:p>
    <w:p w14:paraId="4361AE87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1.5_HOD:_Host_on_Demand,_emulador_3270_q"/>
      <w:bookmarkEnd w:id="5"/>
      <w:r w:rsidRPr="000E0DE8">
        <w:rPr>
          <w:rFonts w:ascii="Times New Roman" w:hAnsi="Times New Roman" w:cs="Times New Roman"/>
          <w:sz w:val="24"/>
          <w:szCs w:val="24"/>
        </w:rPr>
        <w:t>HOD: Host on Demand, emulador 3270 que permite acesso via Web a dados dos cadastros CPF e CNPJ da Receita Federal do Brasil e a dados de bases externas ao SERPRO, como a do sistema SISBACEN.</w:t>
      </w:r>
    </w:p>
    <w:p w14:paraId="15714D82" w14:textId="77777777" w:rsidR="00C33E8C" w:rsidRPr="000E0DE8" w:rsidRDefault="00C33E8C" w:rsidP="00252CC4">
      <w:pPr>
        <w:tabs>
          <w:tab w:val="left" w:pos="82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1.6_CPF:_Cadastro_de_Pessoas_Físicas."/>
      <w:bookmarkEnd w:id="6"/>
      <w:r w:rsidRPr="000E0DE8">
        <w:rPr>
          <w:rFonts w:ascii="Times New Roman" w:hAnsi="Times New Roman" w:cs="Times New Roman"/>
          <w:sz w:val="24"/>
          <w:szCs w:val="24"/>
        </w:rPr>
        <w:t>CPF: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Cadastro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Pessoas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>Físicas.</w:t>
      </w:r>
    </w:p>
    <w:p w14:paraId="36B72D3F" w14:textId="77777777" w:rsidR="00C33E8C" w:rsidRPr="000E0DE8" w:rsidRDefault="00C33E8C" w:rsidP="00252CC4">
      <w:pPr>
        <w:tabs>
          <w:tab w:val="left" w:pos="82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1.7_CNPJ:_Cadastro_Nacional_de_Pessoas_J"/>
      <w:bookmarkEnd w:id="7"/>
      <w:r w:rsidRPr="000E0DE8">
        <w:rPr>
          <w:rFonts w:ascii="Times New Roman" w:hAnsi="Times New Roman" w:cs="Times New Roman"/>
          <w:sz w:val="24"/>
          <w:szCs w:val="24"/>
        </w:rPr>
        <w:t>CNPJ:</w:t>
      </w:r>
      <w:r w:rsidRPr="000E0D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Cadastro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Nacional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Pessoas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>Jurídicas.</w:t>
      </w:r>
    </w:p>
    <w:p w14:paraId="2C4FAC7E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1.8_Sistemas_Externos:_Sistema_cadastrad"/>
      <w:bookmarkEnd w:id="8"/>
      <w:r w:rsidRPr="000E0DE8">
        <w:rPr>
          <w:rFonts w:ascii="Times New Roman" w:hAnsi="Times New Roman" w:cs="Times New Roman"/>
          <w:sz w:val="24"/>
          <w:szCs w:val="24"/>
        </w:rPr>
        <w:t>Sistemas Externos: Sistema cadastrado no Senha Rede com o objetivo de possibilitar a conexão, via rede de Comunicação SERPRO, com sistemas produzidos em ambientes externos ao SERPRO.</w:t>
      </w:r>
    </w:p>
    <w:p w14:paraId="0799391D" w14:textId="77777777" w:rsidR="00C33E8C" w:rsidRPr="000E0DE8" w:rsidRDefault="00C33E8C" w:rsidP="00252CC4">
      <w:pPr>
        <w:tabs>
          <w:tab w:val="left" w:pos="821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1.9_Sisbacen:_Sistema_de_Informações_do_"/>
      <w:bookmarkEnd w:id="9"/>
      <w:r w:rsidRPr="000E0DE8">
        <w:rPr>
          <w:rFonts w:ascii="Times New Roman" w:hAnsi="Times New Roman" w:cs="Times New Roman"/>
          <w:sz w:val="24"/>
          <w:szCs w:val="24"/>
        </w:rPr>
        <w:t>Sisbacen:</w:t>
      </w:r>
      <w:r w:rsidRPr="000E0D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Sistema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Informações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Banco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Central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>Brasil.</w:t>
      </w:r>
    </w:p>
    <w:p w14:paraId="1C30D11F" w14:textId="77777777" w:rsidR="00C33E8C" w:rsidRPr="000E0DE8" w:rsidRDefault="00C33E8C" w:rsidP="00252CC4">
      <w:pPr>
        <w:tabs>
          <w:tab w:val="left" w:pos="821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1.10_Web_Service:_Uma_solução_utilizada_"/>
      <w:bookmarkEnd w:id="10"/>
      <w:r w:rsidRPr="000E0DE8">
        <w:rPr>
          <w:rFonts w:ascii="Times New Roman" w:hAnsi="Times New Roman" w:cs="Times New Roman"/>
          <w:sz w:val="24"/>
          <w:szCs w:val="24"/>
        </w:rPr>
        <w:t>Web Service: Uma solução utilizada na integração de sistemas e na comunicação entre aplicações diferentes. Com essa tecnologia é possível que novas aplicações possam interagir com aquelas que já existem e que sistemas desenvolvidos em plataformas diferentes sejam compatíveis.</w:t>
      </w:r>
    </w:p>
    <w:p w14:paraId="17D365F6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.11_API:_Conjunto_de_rotinas_e_padrões_"/>
      <w:bookmarkEnd w:id="11"/>
      <w:r w:rsidRPr="000E0DE8">
        <w:rPr>
          <w:rFonts w:ascii="Times New Roman" w:hAnsi="Times New Roman" w:cs="Times New Roman"/>
          <w:sz w:val="24"/>
          <w:szCs w:val="24"/>
        </w:rPr>
        <w:t>API: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Conjunto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rotinas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padrões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programação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para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acesso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um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aplicativo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 software ou plataforma baseado na Web.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sigla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API refere-se ao termo em inglês "Application Programming Interface" que significa em tradução para o português "Interface de Programação de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Aplicativos".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Através das</w:t>
      </w:r>
      <w:r w:rsidRPr="000E0D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 xml:space="preserve">APIs, os aplicativos podem se comunicar uns com os outros sem conhecimento ou intervenção dos usuários. Elas funcionam através da comunicação de diversos códigos, definindo </w:t>
      </w:r>
      <w:r w:rsidRPr="000E0DE8">
        <w:rPr>
          <w:rFonts w:ascii="Times New Roman" w:hAnsi="Times New Roman" w:cs="Times New Roman"/>
          <w:sz w:val="24"/>
          <w:szCs w:val="24"/>
        </w:rPr>
        <w:lastRenderedPageBreak/>
        <w:t>comportamentos</w:t>
      </w:r>
      <w:r w:rsidRPr="000E0D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específicos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determinado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objeto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em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uma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interface.</w:t>
      </w:r>
      <w:r w:rsidRPr="000E0DE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</w:t>
      </w:r>
      <w:r w:rsidRPr="000E0DE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API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liga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 xml:space="preserve">as diversas funções de um site de maneira que possam ser utilizadas em outras 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>aplicações.</w:t>
      </w:r>
    </w:p>
    <w:p w14:paraId="23FB3DB9" w14:textId="77777777" w:rsidR="00C33E8C" w:rsidRPr="000E0DE8" w:rsidRDefault="00C33E8C" w:rsidP="000E0DE8">
      <w:pPr>
        <w:tabs>
          <w:tab w:val="left" w:pos="821"/>
          <w:tab w:val="left" w:pos="825"/>
        </w:tabs>
        <w:ind w:right="11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.12_SRFB:_Secretaria_Especial_da_Receit"/>
      <w:bookmarkEnd w:id="12"/>
      <w:r w:rsidRPr="000E0DE8">
        <w:rPr>
          <w:rFonts w:ascii="Times New Roman" w:hAnsi="Times New Roman" w:cs="Times New Roman"/>
          <w:sz w:val="24"/>
          <w:szCs w:val="24"/>
        </w:rPr>
        <w:t>SRFB: Secretaria Especial da Receita Federal do Brasil é um órgão específico, singular, subordinado ao Ministério da Fazenda, exercendo funções essenciais</w:t>
      </w:r>
      <w:r w:rsidRPr="000E0D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para que o Estado possa cumprir seus objetivos.</w:t>
      </w:r>
    </w:p>
    <w:p w14:paraId="3FD4DE84" w14:textId="77777777" w:rsidR="00252CC4" w:rsidRDefault="00252CC4" w:rsidP="00252CC4">
      <w:pPr>
        <w:pStyle w:val="Ttulo1"/>
        <w:tabs>
          <w:tab w:val="left" w:pos="82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</w:rPr>
      </w:pPr>
      <w:bookmarkStart w:id="13" w:name="2_Descrição_geral_do_serviço"/>
      <w:bookmarkEnd w:id="13"/>
    </w:p>
    <w:p w14:paraId="3CBEF77B" w14:textId="0183FEDC" w:rsidR="00C33E8C" w:rsidRPr="00252CC4" w:rsidRDefault="000E0DE8" w:rsidP="00252CC4">
      <w:pPr>
        <w:pStyle w:val="Ttulo1"/>
        <w:tabs>
          <w:tab w:val="left" w:pos="824"/>
        </w:tabs>
        <w:spacing w:before="0"/>
        <w:ind w:left="0" w:firstLine="0"/>
        <w:jc w:val="both"/>
        <w:rPr>
          <w:rFonts w:ascii="Times New Roman" w:hAnsi="Times New Roman" w:cs="Times New Roman"/>
        </w:rPr>
      </w:pPr>
      <w:r w:rsidRPr="00252CC4">
        <w:rPr>
          <w:rFonts w:ascii="Times New Roman" w:hAnsi="Times New Roman" w:cs="Times New Roman"/>
        </w:rPr>
        <w:t>2.1.2. Descrição</w:t>
      </w:r>
      <w:r w:rsidRPr="00252CC4">
        <w:rPr>
          <w:rFonts w:ascii="Times New Roman" w:hAnsi="Times New Roman" w:cs="Times New Roman"/>
          <w:spacing w:val="-6"/>
        </w:rPr>
        <w:t xml:space="preserve"> </w:t>
      </w:r>
      <w:r w:rsidRPr="00252CC4">
        <w:rPr>
          <w:rFonts w:ascii="Times New Roman" w:hAnsi="Times New Roman" w:cs="Times New Roman"/>
        </w:rPr>
        <w:t>Geral</w:t>
      </w:r>
      <w:r w:rsidRPr="00252CC4">
        <w:rPr>
          <w:rFonts w:ascii="Times New Roman" w:hAnsi="Times New Roman" w:cs="Times New Roman"/>
          <w:spacing w:val="-9"/>
        </w:rPr>
        <w:t xml:space="preserve"> </w:t>
      </w:r>
      <w:r w:rsidRPr="00252CC4">
        <w:rPr>
          <w:rFonts w:ascii="Times New Roman" w:hAnsi="Times New Roman" w:cs="Times New Roman"/>
        </w:rPr>
        <w:t>do</w:t>
      </w:r>
      <w:r w:rsidRPr="00252CC4">
        <w:rPr>
          <w:rFonts w:ascii="Times New Roman" w:hAnsi="Times New Roman" w:cs="Times New Roman"/>
          <w:spacing w:val="-5"/>
        </w:rPr>
        <w:t xml:space="preserve"> </w:t>
      </w:r>
      <w:r w:rsidRPr="00252CC4">
        <w:rPr>
          <w:rFonts w:ascii="Times New Roman" w:hAnsi="Times New Roman" w:cs="Times New Roman"/>
          <w:spacing w:val="-2"/>
        </w:rPr>
        <w:t>Serviço</w:t>
      </w:r>
    </w:p>
    <w:p w14:paraId="1B114B57" w14:textId="77777777" w:rsidR="00252CC4" w:rsidRDefault="00252CC4" w:rsidP="000E0DE8">
      <w:pPr>
        <w:tabs>
          <w:tab w:val="left" w:pos="822"/>
          <w:tab w:val="left" w:pos="825"/>
        </w:tabs>
        <w:ind w:right="115"/>
        <w:jc w:val="both"/>
        <w:rPr>
          <w:rFonts w:ascii="Times New Roman" w:hAnsi="Times New Roman" w:cs="Times New Roman"/>
          <w:sz w:val="24"/>
          <w:szCs w:val="24"/>
        </w:rPr>
      </w:pPr>
      <w:bookmarkStart w:id="14" w:name="2.1_O_HOD_ACESSO_CONVENIADO_(Host_on_Dem"/>
      <w:bookmarkEnd w:id="14"/>
    </w:p>
    <w:p w14:paraId="052909D2" w14:textId="55C5A9D6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DE8">
        <w:rPr>
          <w:rFonts w:ascii="Times New Roman" w:hAnsi="Times New Roman" w:cs="Times New Roman"/>
          <w:sz w:val="24"/>
          <w:szCs w:val="24"/>
        </w:rPr>
        <w:t>O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HOD</w:t>
      </w:r>
      <w:r w:rsidRPr="000E0DE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ACESSO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CONVENIADO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(Host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on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Demand)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é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um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emulador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3270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Web,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que permite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aos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usuários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habilitados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no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ambiente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Senha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Rede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realizarem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consultas</w:t>
      </w:r>
      <w:r w:rsidRPr="000E0D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on- line, via Rede SERPRO, às bases conveniadas de governo. Essas bases podem ser internas, ou seja, soluções providas e hospedadas pelo SERPRO, e/ou soluções de “Sistema Externo”, produzidas e hospedadas em ambientes externos ao SERPRO. O HOD acesso conveniado permite que órgãos públicos das esferas, federal,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estadual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e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municipal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acessem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as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bases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governo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conveniadas,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dentre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 xml:space="preserve">as </w:t>
      </w:r>
      <w:r w:rsidRPr="000E0DE8">
        <w:rPr>
          <w:rFonts w:ascii="Times New Roman" w:hAnsi="Times New Roman" w:cs="Times New Roman"/>
          <w:spacing w:val="-2"/>
          <w:sz w:val="24"/>
          <w:szCs w:val="24"/>
        </w:rPr>
        <w:t>quais:</w:t>
      </w:r>
    </w:p>
    <w:p w14:paraId="126A727E" w14:textId="198C6668" w:rsidR="00C33E8C" w:rsidRPr="000E0DE8" w:rsidRDefault="00C33E8C" w:rsidP="00252CC4">
      <w:pPr>
        <w:tabs>
          <w:tab w:val="left" w:pos="961"/>
          <w:tab w:val="left" w:pos="96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2.1.1_Internas,_como_o_Cadastro_de_Pesso"/>
      <w:bookmarkEnd w:id="15"/>
      <w:r w:rsidRPr="000E0DE8">
        <w:rPr>
          <w:rFonts w:ascii="Times New Roman" w:hAnsi="Times New Roman" w:cs="Times New Roman"/>
          <w:sz w:val="24"/>
          <w:szCs w:val="24"/>
        </w:rPr>
        <w:t xml:space="preserve">Internas, como o Cadastro de Pessoas Físicas </w:t>
      </w:r>
      <w:r w:rsidR="000E0DE8">
        <w:rPr>
          <w:rFonts w:ascii="Times New Roman" w:hAnsi="Times New Roman" w:cs="Times New Roman"/>
          <w:sz w:val="24"/>
          <w:szCs w:val="24"/>
        </w:rPr>
        <w:t>-</w:t>
      </w:r>
      <w:r w:rsidRPr="000E0DE8">
        <w:rPr>
          <w:rFonts w:ascii="Times New Roman" w:hAnsi="Times New Roman" w:cs="Times New Roman"/>
          <w:sz w:val="24"/>
          <w:szCs w:val="24"/>
        </w:rPr>
        <w:t xml:space="preserve"> CPF e o Cadastro Nacional de Pessoa Jurídica </w:t>
      </w:r>
      <w:r w:rsidR="000E0DE8">
        <w:rPr>
          <w:rFonts w:ascii="Times New Roman" w:hAnsi="Times New Roman" w:cs="Times New Roman"/>
          <w:sz w:val="24"/>
          <w:szCs w:val="24"/>
        </w:rPr>
        <w:t>-</w:t>
      </w:r>
      <w:r w:rsidRPr="000E0DE8">
        <w:rPr>
          <w:rFonts w:ascii="Times New Roman" w:hAnsi="Times New Roman" w:cs="Times New Roman"/>
          <w:sz w:val="24"/>
          <w:szCs w:val="24"/>
        </w:rPr>
        <w:t xml:space="preserve"> CNPJ, mediante autorizações emitidas pela Secretaria da Receita Federal do Brasil </w:t>
      </w:r>
      <w:r w:rsidR="000E0DE8">
        <w:rPr>
          <w:rFonts w:ascii="Times New Roman" w:hAnsi="Times New Roman" w:cs="Times New Roman"/>
          <w:sz w:val="24"/>
          <w:szCs w:val="24"/>
        </w:rPr>
        <w:t>-</w:t>
      </w:r>
      <w:r w:rsidRPr="000E0DE8">
        <w:rPr>
          <w:rFonts w:ascii="Times New Roman" w:hAnsi="Times New Roman" w:cs="Times New Roman"/>
          <w:sz w:val="24"/>
          <w:szCs w:val="24"/>
        </w:rPr>
        <w:t xml:space="preserve"> RFB e;</w:t>
      </w:r>
    </w:p>
    <w:p w14:paraId="18B6FDE7" w14:textId="77777777" w:rsidR="00C33E8C" w:rsidRPr="000E0DE8" w:rsidRDefault="00C33E8C" w:rsidP="000E0DE8">
      <w:pPr>
        <w:tabs>
          <w:tab w:val="left" w:pos="961"/>
          <w:tab w:val="left" w:pos="966"/>
        </w:tabs>
        <w:ind w:right="124"/>
        <w:jc w:val="both"/>
        <w:rPr>
          <w:rFonts w:ascii="Times New Roman" w:hAnsi="Times New Roman" w:cs="Times New Roman"/>
          <w:sz w:val="24"/>
          <w:szCs w:val="24"/>
        </w:rPr>
      </w:pPr>
      <w:bookmarkStart w:id="16" w:name="2.1.2_Externas,_como_o_Sistema_do_Banco_"/>
      <w:bookmarkEnd w:id="16"/>
      <w:r w:rsidRPr="000E0DE8">
        <w:rPr>
          <w:rFonts w:ascii="Times New Roman" w:hAnsi="Times New Roman" w:cs="Times New Roman"/>
          <w:sz w:val="24"/>
          <w:szCs w:val="24"/>
        </w:rPr>
        <w:t>Externas, como o Sistema do Banco Central (Sisbacen) e sistemas do Banco do Brasil. As habilitações para acessos aos sistemas externos são geridas e autorizadas pelos órgãos proprietários dos respectivos sistemas.</w:t>
      </w:r>
    </w:p>
    <w:p w14:paraId="6CB63845" w14:textId="77777777" w:rsidR="00DE7015" w:rsidRPr="000E0DE8" w:rsidRDefault="00DE7015" w:rsidP="000E0DE8">
      <w:pPr>
        <w:tabs>
          <w:tab w:val="left" w:pos="961"/>
          <w:tab w:val="left" w:pos="966"/>
        </w:tabs>
        <w:ind w:right="124"/>
        <w:jc w:val="both"/>
        <w:rPr>
          <w:rFonts w:ascii="Times New Roman" w:hAnsi="Times New Roman" w:cs="Times New Roman"/>
          <w:sz w:val="24"/>
          <w:szCs w:val="24"/>
        </w:rPr>
      </w:pPr>
    </w:p>
    <w:p w14:paraId="3F374E40" w14:textId="6C4C0A75" w:rsidR="00C33E8C" w:rsidRPr="00252CC4" w:rsidRDefault="000E0DE8" w:rsidP="00252CC4">
      <w:pPr>
        <w:pStyle w:val="Ttulo1"/>
        <w:tabs>
          <w:tab w:val="left" w:pos="824"/>
        </w:tabs>
        <w:spacing w:before="0"/>
        <w:ind w:left="0" w:firstLine="0"/>
        <w:jc w:val="both"/>
        <w:rPr>
          <w:rFonts w:ascii="Times New Roman" w:hAnsi="Times New Roman" w:cs="Times New Roman"/>
          <w:spacing w:val="-2"/>
        </w:rPr>
      </w:pPr>
      <w:bookmarkStart w:id="17" w:name="3_CARACTERÍSTICAS_ESPECÍFICAS_DO_SERVIÇO"/>
      <w:bookmarkEnd w:id="17"/>
      <w:r w:rsidRPr="00252CC4">
        <w:rPr>
          <w:rFonts w:ascii="Times New Roman" w:hAnsi="Times New Roman" w:cs="Times New Roman"/>
        </w:rPr>
        <w:t>2.1.3. Características</w:t>
      </w:r>
      <w:r w:rsidRPr="00252CC4">
        <w:rPr>
          <w:rFonts w:ascii="Times New Roman" w:hAnsi="Times New Roman" w:cs="Times New Roman"/>
          <w:spacing w:val="-10"/>
        </w:rPr>
        <w:t xml:space="preserve"> </w:t>
      </w:r>
      <w:r w:rsidRPr="00252CC4">
        <w:rPr>
          <w:rFonts w:ascii="Times New Roman" w:hAnsi="Times New Roman" w:cs="Times New Roman"/>
        </w:rPr>
        <w:t>Específicas</w:t>
      </w:r>
      <w:r w:rsidRPr="00252CC4">
        <w:rPr>
          <w:rFonts w:ascii="Times New Roman" w:hAnsi="Times New Roman" w:cs="Times New Roman"/>
          <w:spacing w:val="-9"/>
        </w:rPr>
        <w:t xml:space="preserve"> </w:t>
      </w:r>
      <w:r w:rsidRPr="00252CC4">
        <w:rPr>
          <w:rFonts w:ascii="Times New Roman" w:hAnsi="Times New Roman" w:cs="Times New Roman"/>
        </w:rPr>
        <w:t>do</w:t>
      </w:r>
      <w:r w:rsidRPr="00252CC4">
        <w:rPr>
          <w:rFonts w:ascii="Times New Roman" w:hAnsi="Times New Roman" w:cs="Times New Roman"/>
          <w:spacing w:val="-9"/>
        </w:rPr>
        <w:t xml:space="preserve"> </w:t>
      </w:r>
      <w:r w:rsidRPr="00252CC4">
        <w:rPr>
          <w:rFonts w:ascii="Times New Roman" w:hAnsi="Times New Roman" w:cs="Times New Roman"/>
          <w:spacing w:val="-2"/>
        </w:rPr>
        <w:t>Serviço</w:t>
      </w:r>
    </w:p>
    <w:p w14:paraId="7A755E66" w14:textId="77777777" w:rsidR="00252CC4" w:rsidRPr="000E0DE8" w:rsidRDefault="00252CC4" w:rsidP="00252CC4">
      <w:pPr>
        <w:pStyle w:val="Ttulo1"/>
        <w:tabs>
          <w:tab w:val="left" w:pos="82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</w:rPr>
      </w:pPr>
    </w:p>
    <w:p w14:paraId="47C1C417" w14:textId="486B246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3.1_O_acesso_aos_sistemas_será_feito_via"/>
      <w:bookmarkEnd w:id="18"/>
      <w:r w:rsidRPr="000E0DE8">
        <w:rPr>
          <w:rFonts w:ascii="Times New Roman" w:hAnsi="Times New Roman" w:cs="Times New Roman"/>
          <w:sz w:val="24"/>
          <w:szCs w:val="24"/>
        </w:rPr>
        <w:t xml:space="preserve">O acesso aos sistemas será feito via emulador HOD (Host On Demand), disponibilizado no endereço </w:t>
      </w:r>
      <w:hyperlink r:id="rId8" w:history="1">
        <w:r w:rsidRPr="000E0DE8">
          <w:rPr>
            <w:rStyle w:val="Hyperlink"/>
            <w:rFonts w:ascii="Times New Roman" w:hAnsi="Times New Roman" w:cs="Times New Roman"/>
            <w:sz w:val="24"/>
            <w:szCs w:val="24"/>
          </w:rPr>
          <w:t>https://acesso.serpro.gov.br</w:t>
        </w:r>
      </w:hyperlink>
      <w:r w:rsidRPr="000E0DE8">
        <w:rPr>
          <w:rFonts w:ascii="Times New Roman" w:hAnsi="Times New Roman" w:cs="Times New Roman"/>
          <w:sz w:val="24"/>
          <w:szCs w:val="24"/>
        </w:rPr>
        <w:t>.</w:t>
      </w:r>
    </w:p>
    <w:p w14:paraId="6F8C9433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3.2_O_SERPRO_fará_o_cadastramento_do_cód"/>
      <w:bookmarkEnd w:id="19"/>
      <w:r w:rsidRPr="000E0DE8">
        <w:rPr>
          <w:rFonts w:ascii="Times New Roman" w:hAnsi="Times New Roman" w:cs="Times New Roman"/>
          <w:sz w:val="24"/>
          <w:szCs w:val="24"/>
        </w:rPr>
        <w:t>O SERPRO fará o cadastramento do código de órgão de lotação específica para o Cliente no sistema Senha Rede.</w:t>
      </w:r>
    </w:p>
    <w:p w14:paraId="7F1E4D4D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3.3_O_Cliente_indicará_o_SERPRO_os_repre"/>
      <w:bookmarkEnd w:id="20"/>
      <w:r w:rsidRPr="000E0DE8">
        <w:rPr>
          <w:rFonts w:ascii="Times New Roman" w:hAnsi="Times New Roman" w:cs="Times New Roman"/>
          <w:sz w:val="24"/>
          <w:szCs w:val="24"/>
        </w:rPr>
        <w:t>O Cliente indicará o SERPRO os representantes que serão habilitados no sistema Senha Rede com o perfil de “CADASTRADOR GERAL”, mínimo de dois, que estarão autorizados a fazer a gestão dos usuários no sistema.</w:t>
      </w:r>
    </w:p>
    <w:p w14:paraId="48888F03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3.4_A_habilitação_e_troca_de_senha_do_Ca"/>
      <w:bookmarkEnd w:id="21"/>
      <w:r w:rsidRPr="000E0DE8">
        <w:rPr>
          <w:rFonts w:ascii="Times New Roman" w:hAnsi="Times New Roman" w:cs="Times New Roman"/>
          <w:sz w:val="24"/>
          <w:szCs w:val="24"/>
        </w:rPr>
        <w:t>A</w:t>
      </w:r>
      <w:r w:rsidRPr="000E0D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habilitação e troca de senha do Cadastrador Geral do Cliente no sistema Senha Rede ficará sob a responsabilidade do SERPRO.</w:t>
      </w:r>
    </w:p>
    <w:p w14:paraId="39E352A9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3.5_O_Cadastrador_Geral_é_responsável_po"/>
      <w:bookmarkEnd w:id="22"/>
      <w:r w:rsidRPr="000E0DE8">
        <w:rPr>
          <w:rFonts w:ascii="Times New Roman" w:hAnsi="Times New Roman" w:cs="Times New Roman"/>
          <w:sz w:val="24"/>
          <w:szCs w:val="24"/>
        </w:rPr>
        <w:t>O Cadastrador Geral é responsável por fazer a administração dos usuários do Cliente, realizando as atividades de inclusão, exclusão, ativação/desativação, troca de senha, etc, bem como fazer uso das funções de consultas que permitem acompanhar o quantitativo dos usuários habilitados nos sistemas.</w:t>
      </w:r>
    </w:p>
    <w:p w14:paraId="60E6FECD" w14:textId="77777777" w:rsidR="00C33E8C" w:rsidRPr="000E0DE8" w:rsidRDefault="00C33E8C" w:rsidP="00252CC4">
      <w:pPr>
        <w:tabs>
          <w:tab w:val="left" w:pos="961"/>
          <w:tab w:val="left" w:pos="96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3.5.1_O_cadastramento_dos_demais_usuário"/>
      <w:bookmarkEnd w:id="23"/>
      <w:r w:rsidRPr="000E0DE8">
        <w:rPr>
          <w:rFonts w:ascii="Times New Roman" w:hAnsi="Times New Roman" w:cs="Times New Roman"/>
          <w:sz w:val="24"/>
          <w:szCs w:val="24"/>
        </w:rPr>
        <w:t>O cadastramento dos demais usuários no Sistema SENHA</w:t>
      </w:r>
      <w:r w:rsidRPr="000E0D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REDE será feita pelos Cadastradores Gerais do Cliente, não cabendo ao SERPRO quaisquer ações neste sentido.</w:t>
      </w:r>
    </w:p>
    <w:p w14:paraId="18C9DD69" w14:textId="770558EC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3.6_A_Habilitação_dos_cadastradores_e_us"/>
      <w:bookmarkEnd w:id="24"/>
      <w:r w:rsidRPr="000E0DE8">
        <w:rPr>
          <w:rFonts w:ascii="Times New Roman" w:hAnsi="Times New Roman" w:cs="Times New Roman"/>
          <w:sz w:val="24"/>
          <w:szCs w:val="24"/>
        </w:rPr>
        <w:t xml:space="preserve">A Habilitação dos cadastradores e usuários no módulo dos sistemas CPF/CNPJ serão feitos pela Receita Federal do Brasil </w:t>
      </w:r>
      <w:r w:rsidR="000E0DE8">
        <w:rPr>
          <w:rFonts w:ascii="Times New Roman" w:hAnsi="Times New Roman" w:cs="Times New Roman"/>
          <w:sz w:val="24"/>
          <w:szCs w:val="24"/>
        </w:rPr>
        <w:t>-</w:t>
      </w:r>
      <w:r w:rsidRPr="000E0DE8">
        <w:rPr>
          <w:rFonts w:ascii="Times New Roman" w:hAnsi="Times New Roman" w:cs="Times New Roman"/>
          <w:sz w:val="24"/>
          <w:szCs w:val="24"/>
        </w:rPr>
        <w:t xml:space="preserve"> RFB, órgão gestor dos sistema.</w:t>
      </w:r>
    </w:p>
    <w:p w14:paraId="133FBDF1" w14:textId="77777777" w:rsidR="00C33E8C" w:rsidRPr="000E0DE8" w:rsidRDefault="00C33E8C" w:rsidP="00252CC4">
      <w:pPr>
        <w:tabs>
          <w:tab w:val="left" w:pos="822"/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3.7_A_habilitação_nos_sistemas_externos_"/>
      <w:bookmarkEnd w:id="25"/>
      <w:r w:rsidRPr="000E0DE8">
        <w:rPr>
          <w:rFonts w:ascii="Times New Roman" w:hAnsi="Times New Roman" w:cs="Times New Roman"/>
          <w:sz w:val="24"/>
          <w:szCs w:val="24"/>
        </w:rPr>
        <w:t>A habilitação nos sistemas externos do Banco Central, Banco do Brasil, ou de quaisquer outras soluções externas que venham a ser integradas ao rol de aplicações com acessos providos pelo HOD deverão ser realizadas pelos correspondentes órgãos gestores/proprietários dos sistemas.</w:t>
      </w:r>
    </w:p>
    <w:p w14:paraId="0F669441" w14:textId="54DEB078" w:rsidR="00C33E8C" w:rsidRPr="000E0DE8" w:rsidRDefault="00C33E8C" w:rsidP="00252CC4">
      <w:pPr>
        <w:tabs>
          <w:tab w:val="left" w:pos="961"/>
          <w:tab w:val="left" w:pos="96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3.7.1_É_de_exclusiva_responsabilidade_do"/>
      <w:bookmarkEnd w:id="26"/>
      <w:r w:rsidRPr="000E0DE8">
        <w:rPr>
          <w:rFonts w:ascii="Times New Roman" w:hAnsi="Times New Roman" w:cs="Times New Roman"/>
          <w:sz w:val="24"/>
          <w:szCs w:val="24"/>
        </w:rPr>
        <w:t xml:space="preserve">É de exclusiva responsabilidade do Cliente a solicitação de habilitações junto aos órgãos gestores </w:t>
      </w:r>
      <w:r w:rsidR="000E0DE8">
        <w:rPr>
          <w:rFonts w:ascii="Times New Roman" w:hAnsi="Times New Roman" w:cs="Times New Roman"/>
          <w:sz w:val="24"/>
          <w:szCs w:val="24"/>
        </w:rPr>
        <w:t>-</w:t>
      </w:r>
      <w:r w:rsidRPr="000E0DE8">
        <w:rPr>
          <w:rFonts w:ascii="Times New Roman" w:hAnsi="Times New Roman" w:cs="Times New Roman"/>
          <w:sz w:val="24"/>
          <w:szCs w:val="24"/>
        </w:rPr>
        <w:t xml:space="preserve"> RFB, BACEN, BB, demais </w:t>
      </w:r>
      <w:r w:rsidR="000E0DE8">
        <w:rPr>
          <w:rFonts w:ascii="Times New Roman" w:hAnsi="Times New Roman" w:cs="Times New Roman"/>
          <w:sz w:val="24"/>
          <w:szCs w:val="24"/>
        </w:rPr>
        <w:t>-</w:t>
      </w:r>
      <w:r w:rsidRPr="000E0DE8">
        <w:rPr>
          <w:rFonts w:ascii="Times New Roman" w:hAnsi="Times New Roman" w:cs="Times New Roman"/>
          <w:sz w:val="24"/>
          <w:szCs w:val="24"/>
        </w:rPr>
        <w:t xml:space="preserve"> dos sistemas cujos acessos sejam requeridos,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não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cabendo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ao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SERPRO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qualquer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intermediação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dessas</w:t>
      </w:r>
      <w:r w:rsidRPr="000E0D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DE8">
        <w:rPr>
          <w:rFonts w:ascii="Times New Roman" w:hAnsi="Times New Roman" w:cs="Times New Roman"/>
          <w:sz w:val="24"/>
          <w:szCs w:val="24"/>
        </w:rPr>
        <w:t>solicitações ou ações no sentido de concessão ou revogação dessas habilitações.</w:t>
      </w:r>
    </w:p>
    <w:p w14:paraId="07DF4D1B" w14:textId="77777777" w:rsidR="00C33E8C" w:rsidRPr="000E0DE8" w:rsidRDefault="00C33E8C" w:rsidP="000E0DE8">
      <w:pPr>
        <w:tabs>
          <w:tab w:val="left" w:pos="961"/>
          <w:tab w:val="left" w:pos="966"/>
        </w:tabs>
        <w:ind w:right="123"/>
        <w:jc w:val="both"/>
        <w:rPr>
          <w:rFonts w:ascii="Times New Roman" w:hAnsi="Times New Roman" w:cs="Times New Roman"/>
          <w:sz w:val="24"/>
          <w:szCs w:val="24"/>
        </w:rPr>
      </w:pPr>
      <w:bookmarkStart w:id="27" w:name="3.7.2_Para_exclusão_de_acesso_de_usuário"/>
      <w:bookmarkEnd w:id="27"/>
      <w:r w:rsidRPr="000E0DE8">
        <w:rPr>
          <w:rFonts w:ascii="Times New Roman" w:hAnsi="Times New Roman" w:cs="Times New Roman"/>
          <w:sz w:val="24"/>
          <w:szCs w:val="24"/>
        </w:rPr>
        <w:t>Para exclusão de acesso de usuário às bases autorizadas, o órgão deverá enviar documento com pedido de exclusão ao gestor da base (RFB, Banco Central, Banco do Brasil) e o cadastrador do órgão deverá excluir o usuário do sistema Senha Rede.</w:t>
      </w:r>
    </w:p>
    <w:p w14:paraId="7389145E" w14:textId="77777777" w:rsidR="00C33E8C" w:rsidRPr="000E0DE8" w:rsidRDefault="00C33E8C" w:rsidP="000E0DE8">
      <w:pPr>
        <w:tabs>
          <w:tab w:val="left" w:pos="961"/>
          <w:tab w:val="left" w:pos="966"/>
        </w:tabs>
        <w:ind w:right="123"/>
        <w:jc w:val="both"/>
        <w:rPr>
          <w:rFonts w:ascii="Times New Roman" w:hAnsi="Times New Roman" w:cs="Times New Roman"/>
          <w:sz w:val="24"/>
          <w:szCs w:val="24"/>
        </w:rPr>
      </w:pPr>
    </w:p>
    <w:p w14:paraId="62AE33E9" w14:textId="77777777" w:rsidR="000E0DE8" w:rsidRPr="000E0DE8" w:rsidRDefault="000E0DE8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DE8">
        <w:rPr>
          <w:rFonts w:ascii="Times New Roman" w:hAnsi="Times New Roman" w:cs="Times New Roman"/>
          <w:b/>
          <w:bCs/>
          <w:sz w:val="24"/>
          <w:szCs w:val="24"/>
        </w:rPr>
        <w:t>3. Valor Total Estimado</w:t>
      </w:r>
    </w:p>
    <w:p w14:paraId="33C6A79F" w14:textId="77777777" w:rsidR="000E0DE8" w:rsidRPr="000E0DE8" w:rsidRDefault="000E0DE8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B01A4B" w14:textId="39DB793B" w:rsidR="00C33E8C" w:rsidRPr="000E0DE8" w:rsidRDefault="000E0DE8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DE8">
        <w:rPr>
          <w:rFonts w:ascii="Times New Roman" w:hAnsi="Times New Roman" w:cs="Times New Roman"/>
          <w:sz w:val="24"/>
          <w:szCs w:val="24"/>
        </w:rPr>
        <w:t xml:space="preserve">Valor global estimado anual de </w:t>
      </w:r>
      <w:r w:rsidR="00C33E8C" w:rsidRPr="000E0DE8">
        <w:rPr>
          <w:rFonts w:ascii="Times New Roman" w:hAnsi="Times New Roman" w:cs="Times New Roman"/>
          <w:sz w:val="24"/>
          <w:szCs w:val="24"/>
        </w:rPr>
        <w:t>R$ 10.000,00 (dez mil reais)</w:t>
      </w:r>
    </w:p>
    <w:p w14:paraId="6AB8CFF4" w14:textId="77777777" w:rsidR="00C33E8C" w:rsidRPr="000E0DE8" w:rsidRDefault="00C33E8C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E828AF" w14:textId="043AC702" w:rsidR="00C33E8C" w:rsidRPr="000E0DE8" w:rsidRDefault="000E0DE8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DE8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52BC39DE" w14:textId="77777777" w:rsidR="000E0DE8" w:rsidRPr="000E0DE8" w:rsidRDefault="000E0DE8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1B8C80" w14:textId="1A04CE9F" w:rsidR="00C33E8C" w:rsidRPr="000E0DE8" w:rsidRDefault="000D047E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DE8">
        <w:rPr>
          <w:rFonts w:ascii="Times New Roman" w:hAnsi="Times New Roman" w:cs="Times New Roman"/>
          <w:sz w:val="24"/>
          <w:szCs w:val="24"/>
        </w:rPr>
        <w:t>Inciso I, art. 74 da Lei nº 14.133/2021.</w:t>
      </w:r>
    </w:p>
    <w:p w14:paraId="6C03F011" w14:textId="77777777" w:rsidR="000D047E" w:rsidRPr="000E0DE8" w:rsidRDefault="000D047E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602A4B" w14:textId="59807CE6" w:rsidR="00C33E8C" w:rsidRPr="000E0DE8" w:rsidRDefault="000E0DE8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DE8">
        <w:rPr>
          <w:rFonts w:ascii="Times New Roman" w:hAnsi="Times New Roman" w:cs="Times New Roman"/>
          <w:b/>
          <w:bCs/>
          <w:sz w:val="24"/>
          <w:szCs w:val="24"/>
        </w:rPr>
        <w:t>5. Resolução</w:t>
      </w:r>
    </w:p>
    <w:p w14:paraId="0F240021" w14:textId="77777777" w:rsidR="000E0DE8" w:rsidRPr="000E0DE8" w:rsidRDefault="000E0DE8" w:rsidP="000E0DE8">
      <w:pPr>
        <w:ind w:right="126"/>
        <w:jc w:val="both"/>
        <w:rPr>
          <w:rFonts w:ascii="Times New Roman" w:hAnsi="Times New Roman" w:cs="Times New Roman"/>
          <w:sz w:val="24"/>
          <w:szCs w:val="24"/>
        </w:rPr>
      </w:pPr>
    </w:p>
    <w:p w14:paraId="5CD126D7" w14:textId="45775C7D" w:rsidR="000D047E" w:rsidRPr="000E0DE8" w:rsidRDefault="000D047E" w:rsidP="00252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DE8">
        <w:rPr>
          <w:rFonts w:ascii="Times New Roman" w:hAnsi="Times New Roman" w:cs="Times New Roman"/>
          <w:sz w:val="24"/>
          <w:szCs w:val="24"/>
        </w:rPr>
        <w:t>Reconheço a minuta da inexigibilidade de licitação, amparada no Inciso III, art. 74, da Lei n° 14.133/2021, para a contratação do objeto deste Termo.</w:t>
      </w:r>
    </w:p>
    <w:p w14:paraId="705FE032" w14:textId="0B713458" w:rsidR="000D047E" w:rsidRPr="000E0DE8" w:rsidRDefault="000D047E" w:rsidP="000E0DE8">
      <w:pPr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0E0DE8">
        <w:rPr>
          <w:rFonts w:ascii="Times New Roman" w:hAnsi="Times New Roman" w:cs="Times New Roman"/>
          <w:sz w:val="24"/>
          <w:szCs w:val="24"/>
        </w:rPr>
        <w:t>Submeto o ato ao Senhor Presidente do Cofecon, para a ratificação da situação de inexigibilidade de licitação.</w:t>
      </w:r>
    </w:p>
    <w:p w14:paraId="3D41303A" w14:textId="77777777" w:rsidR="0016607A" w:rsidRPr="000E0DE8" w:rsidRDefault="0016607A" w:rsidP="000E0DE8">
      <w:pPr>
        <w:ind w:right="34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15F61" w14:textId="77777777" w:rsidR="00907F8F" w:rsidRPr="000E0DE8" w:rsidRDefault="00907F8F" w:rsidP="000E0DE8">
      <w:pPr>
        <w:ind w:right="34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8391B" w14:textId="46301277" w:rsidR="00F72558" w:rsidRPr="000E0DE8" w:rsidRDefault="00F72558" w:rsidP="000E0DE8">
      <w:pPr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E8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0E0DE8" w:rsidRDefault="00F72558" w:rsidP="000E0DE8">
      <w:pPr>
        <w:pStyle w:val="Corpodetexto"/>
        <w:ind w:right="-23"/>
        <w:jc w:val="center"/>
        <w:rPr>
          <w:rFonts w:ascii="Times New Roman" w:hAnsi="Times New Roman" w:cs="Times New Roman"/>
          <w:spacing w:val="-1"/>
        </w:rPr>
      </w:pPr>
      <w:r w:rsidRPr="000E0DE8">
        <w:rPr>
          <w:rFonts w:ascii="Times New Roman" w:hAnsi="Times New Roman" w:cs="Times New Roman"/>
          <w:spacing w:val="-1"/>
        </w:rPr>
        <w:t>Coordenadora Cofecon</w:t>
      </w:r>
    </w:p>
    <w:p w14:paraId="4987DDAA" w14:textId="77777777" w:rsidR="00842E35" w:rsidRPr="000E0DE8" w:rsidRDefault="00842E35" w:rsidP="000E0DE8">
      <w:pPr>
        <w:pStyle w:val="Corpodetexto"/>
        <w:ind w:right="-23"/>
        <w:jc w:val="both"/>
        <w:rPr>
          <w:rFonts w:ascii="Times New Roman" w:hAnsi="Times New Roman" w:cs="Times New Roman"/>
          <w:spacing w:val="-1"/>
        </w:rPr>
      </w:pPr>
    </w:p>
    <w:p w14:paraId="69F771F6" w14:textId="0E401FB8" w:rsidR="00842E35" w:rsidRPr="000E0DE8" w:rsidRDefault="000E0DE8" w:rsidP="000E0DE8">
      <w:pPr>
        <w:pStyle w:val="PargrafodaLista"/>
        <w:tabs>
          <w:tab w:val="left" w:pos="961"/>
          <w:tab w:val="left" w:pos="966"/>
        </w:tabs>
        <w:spacing w:before="0"/>
        <w:ind w:left="0" w:right="12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0DE8">
        <w:rPr>
          <w:rFonts w:ascii="Times New Roman" w:hAnsi="Times New Roman" w:cs="Times New Roman"/>
          <w:b/>
          <w:bCs/>
          <w:sz w:val="24"/>
          <w:szCs w:val="24"/>
        </w:rPr>
        <w:t>6. Ratificação do Ato</w:t>
      </w:r>
    </w:p>
    <w:p w14:paraId="06A593C5" w14:textId="77777777" w:rsidR="000E0DE8" w:rsidRPr="000E0DE8" w:rsidRDefault="000E0DE8" w:rsidP="000E0DE8">
      <w:pPr>
        <w:tabs>
          <w:tab w:val="left" w:pos="961"/>
          <w:tab w:val="left" w:pos="966"/>
        </w:tabs>
        <w:ind w:right="125"/>
        <w:jc w:val="both"/>
        <w:rPr>
          <w:rFonts w:ascii="Times New Roman" w:hAnsi="Times New Roman" w:cs="Times New Roman"/>
          <w:sz w:val="24"/>
          <w:szCs w:val="24"/>
        </w:rPr>
      </w:pPr>
    </w:p>
    <w:p w14:paraId="09CB0BF0" w14:textId="19228EF6" w:rsidR="00842E35" w:rsidRPr="000E0DE8" w:rsidRDefault="00842E35" w:rsidP="000E0DE8">
      <w:pPr>
        <w:tabs>
          <w:tab w:val="left" w:pos="961"/>
          <w:tab w:val="left" w:pos="966"/>
        </w:tabs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0E0DE8">
        <w:rPr>
          <w:rFonts w:ascii="Times New Roman" w:hAnsi="Times New Roman" w:cs="Times New Roman"/>
          <w:sz w:val="24"/>
          <w:szCs w:val="24"/>
        </w:rPr>
        <w:t xml:space="preserve">Ratifico o ato da minuta de inexigibilidade de licitação, considerando os argumentos apresentados no processo SEI nº </w:t>
      </w:r>
      <w:r w:rsidR="00907F8F" w:rsidRPr="000E0DE8">
        <w:rPr>
          <w:rFonts w:ascii="Times New Roman" w:hAnsi="Times New Roman" w:cs="Times New Roman"/>
          <w:sz w:val="24"/>
          <w:szCs w:val="24"/>
        </w:rPr>
        <w:t>110000940.000031/2023-99.</w:t>
      </w:r>
    </w:p>
    <w:p w14:paraId="0C9FCFE6" w14:textId="77777777" w:rsidR="00842E35" w:rsidRPr="000E0DE8" w:rsidRDefault="00842E35" w:rsidP="000E0DE8">
      <w:pPr>
        <w:pStyle w:val="Corpodetexto"/>
        <w:ind w:right="-23"/>
        <w:jc w:val="both"/>
        <w:rPr>
          <w:rFonts w:ascii="Times New Roman" w:hAnsi="Times New Roman" w:cs="Times New Roman"/>
          <w:spacing w:val="-1"/>
        </w:rPr>
      </w:pPr>
    </w:p>
    <w:p w14:paraId="0AAB0571" w14:textId="77777777" w:rsidR="000E0DE8" w:rsidRPr="000E0DE8" w:rsidRDefault="000E0DE8" w:rsidP="000E0DE8">
      <w:pPr>
        <w:pStyle w:val="Corpodetexto"/>
        <w:ind w:right="-23"/>
        <w:jc w:val="both"/>
        <w:rPr>
          <w:rFonts w:ascii="Times New Roman" w:hAnsi="Times New Roman" w:cs="Times New Roman"/>
          <w:spacing w:val="-1"/>
        </w:rPr>
      </w:pPr>
    </w:p>
    <w:p w14:paraId="03320979" w14:textId="2D11EF90" w:rsidR="00F72558" w:rsidRPr="000E0DE8" w:rsidRDefault="0090296F" w:rsidP="000E0DE8">
      <w:pPr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DE8">
        <w:rPr>
          <w:rFonts w:ascii="Times New Roman" w:hAnsi="Times New Roman" w:cs="Times New Roman"/>
          <w:b/>
          <w:sz w:val="24"/>
          <w:szCs w:val="24"/>
        </w:rPr>
        <w:t>Paulo Dantas da Costa</w:t>
      </w:r>
    </w:p>
    <w:p w14:paraId="59B27106" w14:textId="77777777" w:rsidR="0016607A" w:rsidRPr="000E0DE8" w:rsidRDefault="00F72558" w:rsidP="000E0DE8">
      <w:pPr>
        <w:ind w:right="-2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DE8">
        <w:rPr>
          <w:rFonts w:ascii="Times New Roman" w:hAnsi="Times New Roman" w:cs="Times New Roman"/>
          <w:bCs/>
          <w:sz w:val="24"/>
          <w:szCs w:val="24"/>
        </w:rPr>
        <w:t>Presidente Cofecon</w:t>
      </w:r>
    </w:p>
    <w:sectPr w:rsidR="0016607A" w:rsidRPr="000E0DE8" w:rsidSect="000E0DE8">
      <w:headerReference w:type="default" r:id="rId9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1C34C4E3" w:rsidR="002B7AFF" w:rsidRPr="000E0DE8" w:rsidRDefault="000E0DE8" w:rsidP="000E0DE8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</w:rPr>
      <w:drawing>
        <wp:inline distT="0" distB="0" distL="0" distR="0" wp14:anchorId="2F7208DD" wp14:editId="1325A9DE">
          <wp:extent cx="1364400" cy="892800"/>
          <wp:effectExtent l="0" t="0" r="7620" b="3175"/>
          <wp:docPr id="43802195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2195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B44639" w14:textId="77777777" w:rsidR="000E0DE8" w:rsidRPr="000E0DE8" w:rsidRDefault="000E0DE8" w:rsidP="000E0DE8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4ADA4D41"/>
    <w:multiLevelType w:val="multilevel"/>
    <w:tmpl w:val="3B02159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6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20CF3"/>
    <w:multiLevelType w:val="multilevel"/>
    <w:tmpl w:val="3B02159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10" w15:restartNumberingAfterBreak="0">
    <w:nsid w:val="6AF90E19"/>
    <w:multiLevelType w:val="multilevel"/>
    <w:tmpl w:val="2DA68D96"/>
    <w:lvl w:ilvl="0">
      <w:start w:val="1"/>
      <w:numFmt w:val="decimal"/>
      <w:lvlText w:val="%1"/>
      <w:lvlJc w:val="left"/>
      <w:pPr>
        <w:ind w:left="825" w:hanging="7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5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8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9" w:hanging="8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8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7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6" w:hanging="850"/>
      </w:pPr>
      <w:rPr>
        <w:rFonts w:hint="default"/>
        <w:lang w:val="pt-PT" w:eastAsia="en-US" w:bidi="ar-SA"/>
      </w:rPr>
    </w:lvl>
  </w:abstractNum>
  <w:abstractNum w:abstractNumId="11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11"/>
  </w:num>
  <w:num w:numId="4" w16cid:durableId="302349280">
    <w:abstractNumId w:val="7"/>
  </w:num>
  <w:num w:numId="5" w16cid:durableId="188031001">
    <w:abstractNumId w:val="12"/>
  </w:num>
  <w:num w:numId="6" w16cid:durableId="1326975959">
    <w:abstractNumId w:val="6"/>
  </w:num>
  <w:num w:numId="7" w16cid:durableId="83915935">
    <w:abstractNumId w:val="2"/>
  </w:num>
  <w:num w:numId="8" w16cid:durableId="363555059">
    <w:abstractNumId w:val="13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8"/>
  </w:num>
  <w:num w:numId="12" w16cid:durableId="1434321038">
    <w:abstractNumId w:val="9"/>
  </w:num>
  <w:num w:numId="13" w16cid:durableId="606160155">
    <w:abstractNumId w:val="10"/>
  </w:num>
  <w:num w:numId="14" w16cid:durableId="2070642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0D047E"/>
    <w:rsid w:val="000E0DE8"/>
    <w:rsid w:val="0016607A"/>
    <w:rsid w:val="00252CC4"/>
    <w:rsid w:val="002B547D"/>
    <w:rsid w:val="002B7AFF"/>
    <w:rsid w:val="002D7AC8"/>
    <w:rsid w:val="0032608F"/>
    <w:rsid w:val="00340A0F"/>
    <w:rsid w:val="00391554"/>
    <w:rsid w:val="003925EB"/>
    <w:rsid w:val="003A7E6F"/>
    <w:rsid w:val="003B14CD"/>
    <w:rsid w:val="003B3C15"/>
    <w:rsid w:val="00442D67"/>
    <w:rsid w:val="00461E77"/>
    <w:rsid w:val="004C2E36"/>
    <w:rsid w:val="004D4F33"/>
    <w:rsid w:val="004E27B6"/>
    <w:rsid w:val="004E487B"/>
    <w:rsid w:val="005A596A"/>
    <w:rsid w:val="005A62F5"/>
    <w:rsid w:val="005D7B85"/>
    <w:rsid w:val="00655B2B"/>
    <w:rsid w:val="006B592A"/>
    <w:rsid w:val="00741670"/>
    <w:rsid w:val="007649DA"/>
    <w:rsid w:val="00802B51"/>
    <w:rsid w:val="00834335"/>
    <w:rsid w:val="00842D59"/>
    <w:rsid w:val="00842E35"/>
    <w:rsid w:val="008A476A"/>
    <w:rsid w:val="0090296F"/>
    <w:rsid w:val="00907F8F"/>
    <w:rsid w:val="0097745C"/>
    <w:rsid w:val="00991EEE"/>
    <w:rsid w:val="009A041C"/>
    <w:rsid w:val="009B79E5"/>
    <w:rsid w:val="00AD3AD8"/>
    <w:rsid w:val="00AF78AE"/>
    <w:rsid w:val="00BA1BEE"/>
    <w:rsid w:val="00BB5952"/>
    <w:rsid w:val="00BD795D"/>
    <w:rsid w:val="00C0745C"/>
    <w:rsid w:val="00C33E8C"/>
    <w:rsid w:val="00CA18E5"/>
    <w:rsid w:val="00CB34EB"/>
    <w:rsid w:val="00CD74E3"/>
    <w:rsid w:val="00D2578A"/>
    <w:rsid w:val="00DE7015"/>
    <w:rsid w:val="00E73F9F"/>
    <w:rsid w:val="00EE59AF"/>
    <w:rsid w:val="00F70363"/>
    <w:rsid w:val="00F72558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C33E8C"/>
    <w:pPr>
      <w:spacing w:before="227"/>
      <w:ind w:left="824" w:hanging="70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33E8C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esso.serpro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iente.serpro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1002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Ana Claudia Ramos Pinto</cp:lastModifiedBy>
  <cp:revision>19</cp:revision>
  <cp:lastPrinted>2023-01-11T17:01:00Z</cp:lastPrinted>
  <dcterms:created xsi:type="dcterms:W3CDTF">2022-11-10T12:48:00Z</dcterms:created>
  <dcterms:modified xsi:type="dcterms:W3CDTF">2023-11-17T10:58:00Z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